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B5F9" w14:textId="77777777" w:rsidR="0076726B" w:rsidRPr="00FE6FFC" w:rsidRDefault="0076726B" w:rsidP="0076726B">
      <w:r w:rsidRPr="00FE6FFC">
        <w:rPr>
          <w:b/>
          <w:bCs/>
        </w:rPr>
        <w:t>Praca z różnorodnością w edukacji dorosłych – refleksje po kursie „</w:t>
      </w:r>
      <w:proofErr w:type="spellStart"/>
      <w:r w:rsidRPr="00FE6FFC">
        <w:rPr>
          <w:b/>
          <w:bCs/>
        </w:rPr>
        <w:t>Facing</w:t>
      </w:r>
      <w:proofErr w:type="spellEnd"/>
      <w:r w:rsidRPr="00FE6FFC">
        <w:rPr>
          <w:b/>
          <w:bCs/>
        </w:rPr>
        <w:t xml:space="preserve"> </w:t>
      </w:r>
      <w:proofErr w:type="spellStart"/>
      <w:r w:rsidRPr="00FE6FFC">
        <w:rPr>
          <w:b/>
          <w:bCs/>
        </w:rPr>
        <w:t>Diversity</w:t>
      </w:r>
      <w:proofErr w:type="spellEnd"/>
      <w:r w:rsidRPr="00FE6FFC">
        <w:rPr>
          <w:b/>
          <w:bCs/>
        </w:rPr>
        <w:t xml:space="preserve">: </w:t>
      </w:r>
      <w:proofErr w:type="spellStart"/>
      <w:r w:rsidRPr="00FE6FFC">
        <w:rPr>
          <w:b/>
          <w:bCs/>
        </w:rPr>
        <w:t>Intercultural</w:t>
      </w:r>
      <w:proofErr w:type="spellEnd"/>
      <w:r w:rsidRPr="00FE6FFC">
        <w:rPr>
          <w:b/>
          <w:bCs/>
        </w:rPr>
        <w:t xml:space="preserve"> </w:t>
      </w:r>
      <w:proofErr w:type="spellStart"/>
      <w:r w:rsidRPr="00FE6FFC">
        <w:rPr>
          <w:b/>
          <w:bCs/>
        </w:rPr>
        <w:t>Classroom</w:t>
      </w:r>
      <w:proofErr w:type="spellEnd"/>
      <w:r w:rsidRPr="00FE6FFC">
        <w:rPr>
          <w:b/>
          <w:bCs/>
        </w:rPr>
        <w:t xml:space="preserve"> Management” w Pradze</w:t>
      </w:r>
    </w:p>
    <w:p w14:paraId="64AFD75D" w14:textId="77777777" w:rsidR="0076726B" w:rsidRPr="00FE6FFC" w:rsidRDefault="0076726B" w:rsidP="0076726B">
      <w:r w:rsidRPr="00FE6FFC">
        <w:t>W kwietniu 2026 r. wziąłem udział w kursie „</w:t>
      </w:r>
      <w:proofErr w:type="spellStart"/>
      <w:r w:rsidRPr="00FE6FFC">
        <w:t>Facing</w:t>
      </w:r>
      <w:proofErr w:type="spellEnd"/>
      <w:r w:rsidRPr="00FE6FFC">
        <w:t xml:space="preserve"> </w:t>
      </w:r>
      <w:proofErr w:type="spellStart"/>
      <w:r w:rsidRPr="00FE6FFC">
        <w:t>Diversity</w:t>
      </w:r>
      <w:proofErr w:type="spellEnd"/>
      <w:r w:rsidRPr="00FE6FFC">
        <w:t xml:space="preserve">: </w:t>
      </w:r>
      <w:proofErr w:type="spellStart"/>
      <w:r w:rsidRPr="00FE6FFC">
        <w:t>Intercultural</w:t>
      </w:r>
      <w:proofErr w:type="spellEnd"/>
      <w:r w:rsidRPr="00FE6FFC">
        <w:t xml:space="preserve"> </w:t>
      </w:r>
      <w:proofErr w:type="spellStart"/>
      <w:r w:rsidRPr="00FE6FFC">
        <w:t>Classroom</w:t>
      </w:r>
      <w:proofErr w:type="spellEnd"/>
      <w:r w:rsidRPr="00FE6FFC">
        <w:t xml:space="preserve"> Management” organizowanym przez Europass Teacher Academy w Pradze. Była to kilku</w:t>
      </w:r>
      <w:r w:rsidRPr="00FE6FFC">
        <w:softHyphen/>
        <w:t>dniowa, intensywna praca warsztatowa w międzynarodowej grupie nauczycieli i edukatorów, którzy na co dzień mierzą się z bardzo konkretnymi wyzwaniami związanymi z różnorodnością</w:t>
      </w:r>
      <w:r>
        <w:t xml:space="preserve"> na sali szkoleniowej -</w:t>
      </w:r>
      <w:r w:rsidRPr="00FE6FFC">
        <w:t xml:space="preserve"> od pomyłek językowych, przez nieporozumienia wynikające z odmiennych norm kulturowych, po zaskakujące reakcje ucz</w:t>
      </w:r>
      <w:r>
        <w:t>estnik</w:t>
      </w:r>
      <w:r w:rsidRPr="00FE6FFC">
        <w:t>ów na to, co dla prowadzącego wydaje się oczywiste.</w:t>
      </w:r>
    </w:p>
    <w:p w14:paraId="48E5F6AF" w14:textId="77777777" w:rsidR="0076726B" w:rsidRPr="00FE6FFC" w:rsidRDefault="0076726B" w:rsidP="0076726B">
      <w:r w:rsidRPr="00FE6FFC">
        <w:t xml:space="preserve">Już pierwsze ćwiczenia pokazały, że punktem wyjścia do rozmowy o zarządzaniu </w:t>
      </w:r>
      <w:r>
        <w:t>grupą</w:t>
      </w:r>
      <w:r w:rsidRPr="00FE6FFC">
        <w:t xml:space="preserve"> nie jest abstrakcyjna teoria, lecz możliwie dokładne opisanie jednej, realnej grupy. Zadanie „</w:t>
      </w:r>
      <w:proofErr w:type="spellStart"/>
      <w:r w:rsidRPr="00FE6FFC">
        <w:t>Intercultural</w:t>
      </w:r>
      <w:proofErr w:type="spellEnd"/>
      <w:r w:rsidRPr="00FE6FFC">
        <w:t xml:space="preserve"> </w:t>
      </w:r>
      <w:proofErr w:type="spellStart"/>
      <w:r w:rsidRPr="00FE6FFC">
        <w:t>Communication</w:t>
      </w:r>
      <w:proofErr w:type="spellEnd"/>
      <w:r w:rsidRPr="00FE6FFC">
        <w:t xml:space="preserve"> – </w:t>
      </w:r>
      <w:proofErr w:type="spellStart"/>
      <w:r w:rsidRPr="00FE6FFC">
        <w:t>identikit</w:t>
      </w:r>
      <w:proofErr w:type="spellEnd"/>
      <w:r w:rsidRPr="00FE6FFC">
        <w:t xml:space="preserve">” polegało na stworzeniu plakatu przedstawiającego konkretną </w:t>
      </w:r>
      <w:r>
        <w:t>grupę -</w:t>
      </w:r>
      <w:r w:rsidRPr="00FE6FFC">
        <w:t xml:space="preserve"> jej wiek i profil, liczbę osób, rodzaje obecnej różnorodności (językowej, kulturowej, edukacyjnej), mocne strony i główne wyzwania, a także jedną sytuację, którą </w:t>
      </w:r>
      <w:r>
        <w:t>edukator</w:t>
      </w:r>
      <w:r w:rsidRPr="00FE6FFC">
        <w:t xml:space="preserve"> uznaje za szczególnie trudną oraz jedną nadzieję związaną z tą grupą. Taka wizualna „wizytówka” klasy okazała się prostym, ale bardzo skutecznym narzędziem</w:t>
      </w:r>
      <w:r>
        <w:t xml:space="preserve"> -</w:t>
      </w:r>
      <w:r w:rsidRPr="00FE6FFC">
        <w:t xml:space="preserve"> zamiast mówić ogólnie „praca w </w:t>
      </w:r>
      <w:r>
        <w:t xml:space="preserve">grupie </w:t>
      </w:r>
      <w:r w:rsidRPr="00FE6FFC">
        <w:t xml:space="preserve">X jest wymagająca”, zaczęliśmy mówić „w tej konkretnej </w:t>
      </w:r>
      <w:r>
        <w:t>grupie</w:t>
      </w:r>
      <w:r w:rsidRPr="00FE6FFC">
        <w:t xml:space="preserve"> są osoby, które…”, „tu pojawia się napięcie wokół…”, „w tym miejscu kryje się niewykorzystany potencjał”.</w:t>
      </w:r>
    </w:p>
    <w:p w14:paraId="393560A1" w14:textId="77777777" w:rsidR="0076726B" w:rsidRPr="00FE6FFC" w:rsidRDefault="0076726B" w:rsidP="0076726B">
      <w:r w:rsidRPr="00FE6FFC">
        <w:t xml:space="preserve">W dalszej części kursu pracowaliśmy na scenariuszach „Lost in </w:t>
      </w:r>
      <w:proofErr w:type="spellStart"/>
      <w:r w:rsidRPr="00FE6FFC">
        <w:t>Translation</w:t>
      </w:r>
      <w:proofErr w:type="spellEnd"/>
      <w:r w:rsidRPr="00FE6FFC">
        <w:t xml:space="preserve">”, pokazujących typowe sytuacje, w których </w:t>
      </w:r>
      <w:r>
        <w:t>edukator</w:t>
      </w:r>
      <w:r w:rsidRPr="00FE6FFC">
        <w:t xml:space="preserve"> i </w:t>
      </w:r>
      <w:r>
        <w:t>uczestnicy</w:t>
      </w:r>
      <w:r w:rsidRPr="00FE6FFC">
        <w:t xml:space="preserve"> zupełnie inaczej interpretują to samo zdarzenie. W niewielkich grupach czytaliśmy krótkie opisy, zastanawiając się: co tu się naprawdę wydarzyło? czyj punkt widzenia jest brany pod uwagę w pierwszej kolejności? jakie założenia każda ze stron wnosi do interakcji? Następnie odgrywaliśmy scenki – jedna osoba wcielała się w </w:t>
      </w:r>
      <w:r>
        <w:t>edukatora</w:t>
      </w:r>
      <w:r w:rsidRPr="00FE6FFC">
        <w:t>, inne w ucz</w:t>
      </w:r>
      <w:r>
        <w:t>estników</w:t>
      </w:r>
      <w:r w:rsidRPr="00FE6FFC">
        <w:t xml:space="preserve"> – a po improwizowanym role</w:t>
      </w:r>
      <w:r w:rsidRPr="00FE6FFC">
        <w:noBreakHyphen/>
      </w:r>
      <w:proofErr w:type="spellStart"/>
      <w:r w:rsidRPr="00FE6FFC">
        <w:t>play</w:t>
      </w:r>
      <w:proofErr w:type="spellEnd"/>
      <w:r w:rsidRPr="00FE6FFC">
        <w:t xml:space="preserve"> analizowaliśmy, co zrobił prowadzący i czy jego reakcja pomogła, czy raczej utrwaliła napięcie. W drugiej rundzie dokładaliśmy konkretne strategie</w:t>
      </w:r>
      <w:r>
        <w:t xml:space="preserve"> -</w:t>
      </w:r>
      <w:r w:rsidRPr="00FE6FFC">
        <w:t xml:space="preserve"> zatrzymanie i nazwanie nieporozumienia („widzę, że coś nas tu rozminęło – zatrzymajmy się na chwilę”), zadawanie pytań z ciekawością o intencję, normalizowanie różnicy („różne osoby robią to różnie – to normalne”), zapraszanie ucz</w:t>
      </w:r>
      <w:r>
        <w:t>estnika</w:t>
      </w:r>
      <w:r w:rsidRPr="00FE6FFC">
        <w:t xml:space="preserve"> do podzielenia się perspektywą („czy możesz opowiedzieć nam, jak to wygląda z Twojej strony?”), rozmowę indywidualną poza forum oraz wspólne doprecyzowanie zasad w </w:t>
      </w:r>
      <w:r>
        <w:t>grupie</w:t>
      </w:r>
      <w:r w:rsidRPr="00FE6FFC">
        <w:t>. Dopiero gdy spróbowaliśmy „zagrać” tę samą sytuację z użyciem innych strategii, mogliśmy naprawdę zobaczyć, jak bardzo zmienia się klimat grupy.</w:t>
      </w:r>
    </w:p>
    <w:p w14:paraId="4FC8DE26" w14:textId="77777777" w:rsidR="0076726B" w:rsidRPr="00FE6FFC" w:rsidRDefault="0076726B" w:rsidP="0076726B">
      <w:r w:rsidRPr="00FE6FFC">
        <w:t>W module „</w:t>
      </w:r>
      <w:proofErr w:type="spellStart"/>
      <w:r w:rsidRPr="00FE6FFC">
        <w:t>Mission</w:t>
      </w:r>
      <w:proofErr w:type="spellEnd"/>
      <w:r w:rsidRPr="00FE6FFC">
        <w:t xml:space="preserve"> </w:t>
      </w:r>
      <w:proofErr w:type="spellStart"/>
      <w:r w:rsidRPr="00FE6FFC">
        <w:t>Possible</w:t>
      </w:r>
      <w:proofErr w:type="spellEnd"/>
      <w:r w:rsidRPr="00FE6FFC">
        <w:t>” przyglądaliśmy się z kolei temu, w jaki sposób proste, krótkie zadania mogą budować poczucie przynależności i uruchamiać różnorodne zasoby kulturowe obecne w grupie. Uczestnicy mieli np. znaleźć pięć nieoczywistych rzeczy, które łączą wszystkie osoby w ich zespole, stworzyć kilkuminutowy rytuał powitalny, w którym każda osoba ma swoje miejsce, opowiedzieć bardzo krótką historię z udziałem obiektów ważnych kulturowo dla poszczególnych uczestników, poszukać w przestrzeni miasta elementów, które „opowiadają” lokalną kulturę, oraz tych, które mogłyby zaskoczyć przybysza z innej części świata. Wspólne wykonywanie tych zadań pokazało, że poczucie bycia częścią grupy nie musi powstawać tylko poprzez długie projekty – często tworzą je mikro</w:t>
      </w:r>
      <w:r w:rsidRPr="00FE6FFC">
        <w:noBreakHyphen/>
        <w:t>gesty, rytuały i narracje, powtarzane w codzienności.</w:t>
      </w:r>
    </w:p>
    <w:p w14:paraId="67FF3397" w14:textId="77777777" w:rsidR="0076726B" w:rsidRPr="00FE6FFC" w:rsidRDefault="0076726B" w:rsidP="0076726B">
      <w:r w:rsidRPr="00FE6FFC">
        <w:t>Bardzo ważnym filarem kursu były narzędzia refleksji nad kulturą</w:t>
      </w:r>
      <w:r>
        <w:t xml:space="preserve"> -</w:t>
      </w:r>
      <w:r w:rsidRPr="00FE6FFC">
        <w:t xml:space="preserve"> od klasycznej metafory „góry lodowej” (widoczna, „nadrzędna” warstwa kultury – język, ubranie, święta – oraz ukryte, silnie emocjonalne warstwy dotyczące np. hierarchii, rozumienia czasu, dystansu fizycznego, sposobów wyrażania emocji), po skale z książki „The </w:t>
      </w:r>
      <w:proofErr w:type="spellStart"/>
      <w:r w:rsidRPr="00FE6FFC">
        <w:t>Culture</w:t>
      </w:r>
      <w:proofErr w:type="spellEnd"/>
      <w:r w:rsidRPr="00FE6FFC">
        <w:t xml:space="preserve"> Map” Erin Meyer, pokazujące różnice w komunikacji (</w:t>
      </w:r>
      <w:proofErr w:type="spellStart"/>
      <w:r w:rsidRPr="00FE6FFC">
        <w:t>low</w:t>
      </w:r>
      <w:r w:rsidRPr="00FE6FFC">
        <w:noBreakHyphen/>
        <w:t>context</w:t>
      </w:r>
      <w:proofErr w:type="spellEnd"/>
      <w:r w:rsidRPr="00FE6FFC">
        <w:t xml:space="preserve"> vs high</w:t>
      </w:r>
      <w:r w:rsidRPr="00FE6FFC">
        <w:noBreakHyphen/>
      </w:r>
      <w:proofErr w:type="spellStart"/>
      <w:r w:rsidRPr="00FE6FFC">
        <w:t>context</w:t>
      </w:r>
      <w:proofErr w:type="spellEnd"/>
      <w:r w:rsidRPr="00FE6FFC">
        <w:t xml:space="preserve">), dawaniu informacji zwrotnej (bezpośrednio vs pośrednio), podejściu do przywództwa, podejmowania decyzji czy konfliktu. Używaliśmy także prostych kart i modeli, które </w:t>
      </w:r>
      <w:r w:rsidRPr="00FE6FFC">
        <w:lastRenderedPageBreak/>
        <w:t xml:space="preserve">porządkują style </w:t>
      </w:r>
      <w:proofErr w:type="spellStart"/>
      <w:r w:rsidRPr="00FE6FFC">
        <w:t>zachowań</w:t>
      </w:r>
      <w:proofErr w:type="spellEnd"/>
      <w:r w:rsidRPr="00FE6FFC">
        <w:t xml:space="preserve"> w różnych kulturach (np. model Lewisa). Największą wartością tych narzędzi nie było jednak „przyklejenie etykiet” konkretnym krajom, lecz uświadomienie sobie, że w jednej </w:t>
      </w:r>
      <w:r>
        <w:t>grupie</w:t>
      </w:r>
      <w:r w:rsidRPr="00FE6FFC">
        <w:t xml:space="preserve"> mogą spotkać się bardzo różne wyobrażenia o tym, jak „powinno” wyglądać mówienie o problemie, proszenie o pomoc, krytykowanie pracy czy zarządzanie czasem.</w:t>
      </w:r>
    </w:p>
    <w:p w14:paraId="446B1540" w14:textId="77777777" w:rsidR="0076726B" w:rsidRPr="00FE6FFC" w:rsidRDefault="0076726B" w:rsidP="0076726B">
      <w:r w:rsidRPr="00FE6FFC">
        <w:t>Sporo uwagi poświęciliśmy także kompetencjom komunikacyjnym w skali mikro, takim jak aktywne słuchanie. W centrum znalazły się takie elementy, jak parafraza (sprawdzenie, czy dobrze rozumiem to, co ktoś powiedział), zadawanie pytań pogłębiających, używanie wspierającej mowy ciała (kontakt wzrokowy, otwarta postawa), okazywanie empatii, powstrzymanie się od szybkiego oceniania czy udzielania rad, zanim dobrze poznamy perspektywę rozmówcy. Zwracaliśmy uwagę, że w pracy z dorosłymi – zwłaszcza w zróżnicowanych grupach – nauczyciel czy edukator często zyskuje więcej, kiedy potrafi „zostać przy słuchaniu”, niż wtedy, gdy natychmiast proponuje rozwiązania.</w:t>
      </w:r>
    </w:p>
    <w:p w14:paraId="5B1B1995" w14:textId="77777777" w:rsidR="0076726B" w:rsidRPr="00FE6FFC" w:rsidRDefault="0076726B" w:rsidP="0076726B">
      <w:r w:rsidRPr="00FE6FFC">
        <w:t>Dla mnie ważnym momentem była też praca z kartami typu „</w:t>
      </w:r>
      <w:proofErr w:type="spellStart"/>
      <w:r w:rsidRPr="00FE6FFC">
        <w:t>Find</w:t>
      </w:r>
      <w:proofErr w:type="spellEnd"/>
      <w:r w:rsidRPr="00FE6FFC">
        <w:t xml:space="preserve"> </w:t>
      </w:r>
      <w:proofErr w:type="spellStart"/>
      <w:r w:rsidRPr="00FE6FFC">
        <w:t>someone</w:t>
      </w:r>
      <w:proofErr w:type="spellEnd"/>
      <w:r w:rsidRPr="00FE6FFC">
        <w:t xml:space="preserve"> </w:t>
      </w:r>
      <w:proofErr w:type="spellStart"/>
      <w:r w:rsidRPr="00FE6FFC">
        <w:t>who</w:t>
      </w:r>
      <w:proofErr w:type="spellEnd"/>
      <w:r w:rsidRPr="00FE6FFC">
        <w:t xml:space="preserve">…”, gdzie w lekkiej formie ujawniają się doświadczenia </w:t>
      </w:r>
      <w:r>
        <w:t>edukatorów -</w:t>
      </w:r>
      <w:r w:rsidRPr="00FE6FFC">
        <w:t xml:space="preserve"> bycia „tym innym” w grupie, korzystania z automatycznego tłumacza, który wprowadził zamieszanie, prób tworzenia „bezpiecznej przestrzeni” i wątpliwości, czy rzeczywiście była ona bezpieczna, frustracji związanej z tym, że </w:t>
      </w:r>
      <w:r>
        <w:t>uczestnicy</w:t>
      </w:r>
      <w:r w:rsidRPr="00FE6FFC">
        <w:t xml:space="preserve"> nie podążają za „oczywistymi” zasadami, lub poczucia bezradności wobec sytuacji, której nie umiemy jednoznacznie rozwiązać. Wspólne przyznanie, że takie doświadczenia są udziałem wielu osób, samo w sobie ma charakter odciążający – pokazuje, że wyzwania nie są naszą osobistą porażką, lecz częścią pracy z różnorodnością.</w:t>
      </w:r>
    </w:p>
    <w:p w14:paraId="39B14118" w14:textId="77777777" w:rsidR="0076726B" w:rsidRPr="00FE6FFC" w:rsidRDefault="0076726B" w:rsidP="0076726B">
      <w:r w:rsidRPr="00FE6FFC">
        <w:t>Przenosząc te doświadczenia na grunt Instytutu im. Wojciecha Korfantego, widzę kilka konkretnych obszarów działania. Po pierwsze, przy projektowaniu działań edukacyjnych dla dorosłych (animatorów, edukatorów kultury, pracowników instytucji, uczestników projektów badawczych) warto częściej zaczynać od „</w:t>
      </w:r>
      <w:proofErr w:type="spellStart"/>
      <w:r w:rsidRPr="00FE6FFC">
        <w:t>identikitu</w:t>
      </w:r>
      <w:proofErr w:type="spellEnd"/>
      <w:r w:rsidRPr="00FE6FFC">
        <w:t>” konkretnych grup. Zamiast zakładać, że „odbiorcy są tacy”, możemy prosić prowadzących o opisanie jednej realnej grupy, z którą pracują</w:t>
      </w:r>
      <w:r>
        <w:t xml:space="preserve"> -</w:t>
      </w:r>
      <w:r w:rsidRPr="00FE6FFC">
        <w:t xml:space="preserve"> jakie rodzaje różnorodności są obecne, co szczególnie w niej wspiera uczenie się, a co bywa trudne. Po drugie, w sytuacjach napięcia lub nieporozumienia dobrze jest mieć pod ręką repertuar strategii, które poznaliśmy w ćwiczeniu „Lost in </w:t>
      </w:r>
      <w:proofErr w:type="spellStart"/>
      <w:r w:rsidRPr="00FE6FFC">
        <w:t>Translation</w:t>
      </w:r>
      <w:proofErr w:type="spellEnd"/>
      <w:r w:rsidRPr="00FE6FFC">
        <w:t>”</w:t>
      </w:r>
      <w:r>
        <w:t xml:space="preserve"> -</w:t>
      </w:r>
      <w:r w:rsidRPr="00FE6FFC">
        <w:t xml:space="preserve"> zatrzymanie, nazwanie, pytanie z ciekawością, zaproszenie do opowiedzenia własnej perspektywy, spokojna rozmowa indywidualna, wspólne doprecyzowanie zasad, czasem świadome „kupienie czasu” zamiast reakcji w emocjach. Po trzecie, warto projektować elementy budujące przynależność – krótkie rytuały otwierające, mini</w:t>
      </w:r>
      <w:r w:rsidRPr="00FE6FFC">
        <w:noBreakHyphen/>
        <w:t xml:space="preserve">opowieści wokół obiektów kulturowych, zadania w duchu </w:t>
      </w:r>
      <w:proofErr w:type="spellStart"/>
      <w:r w:rsidRPr="00FE6FFC">
        <w:t>Mission</w:t>
      </w:r>
      <w:proofErr w:type="spellEnd"/>
      <w:r w:rsidRPr="00FE6FFC">
        <w:t xml:space="preserve"> </w:t>
      </w:r>
      <w:proofErr w:type="spellStart"/>
      <w:r w:rsidRPr="00FE6FFC">
        <w:t>Possible</w:t>
      </w:r>
      <w:proofErr w:type="spellEnd"/>
      <w:r w:rsidRPr="00FE6FFC">
        <w:t xml:space="preserve"> – jako stałą część warsztatów i spotkań, a nie coś opcjonalnego.</w:t>
      </w:r>
    </w:p>
    <w:p w14:paraId="601B18FF" w14:textId="77777777" w:rsidR="0076726B" w:rsidRPr="00FE6FFC" w:rsidRDefault="0076726B" w:rsidP="0076726B">
      <w:r w:rsidRPr="00FE6FFC">
        <w:t>W kontekście projektu „Krajobraz kulturowy Żywiecczyzny” szczególnie inspirujące jest myślenie o dziedzictwie jako o przestrzeni wielu równoległych narracji</w:t>
      </w:r>
      <w:r>
        <w:t>.</w:t>
      </w:r>
      <w:r w:rsidRPr="00FE6FFC">
        <w:t xml:space="preserve"> Narzędzia, z którymi pracowaliśmy w Pradze, mogą pomóc w projektowaniu spotkań upowszechniających tak, by uczestnicy nie tylko „słuchali opowieści o Żywiecczyźnie”, ale też mieli miejsce na pokazanie własnych doświadczeń, wątpliwości i pytań – w tym związanych z</w:t>
      </w:r>
      <w:r>
        <w:t>e</w:t>
      </w:r>
      <w:r w:rsidRPr="00FE6FFC">
        <w:t xml:space="preserve"> zmianami społecznymi czy zderzaniem się różnych sposobów pamiętania.</w:t>
      </w:r>
    </w:p>
    <w:p w14:paraId="0A9AE254" w14:textId="77777777" w:rsidR="0076726B" w:rsidRDefault="0076726B" w:rsidP="0076726B">
      <w:r w:rsidRPr="00FE6FFC">
        <w:t>Wreszcie, kurs w Pradze wpisuje się w szerszą ścieżkę rozwoju, którą zaplanowałem w swoim Indywidualnym Planie Rozwoju</w:t>
      </w:r>
      <w:r>
        <w:t xml:space="preserve"> -</w:t>
      </w:r>
      <w:r w:rsidRPr="00FE6FFC">
        <w:t xml:space="preserve"> łączenia kompetencji międzykulturowych z krytycznym, etycznym korzystaniem z narzędzi sztucznej inteligencji w edukacji dorosłych. Narzędzia cyfrowe mogą pomagać w analizie materiałów, porządkowaniu wniosków z ćwiczeń, tworzeniu kart refleksji czy projektowaniu treści edukacyjnych dopasowanych do różnych grup, ale sens pracy nadal rodzi się w dialogu, relacjach i uważności na lokalny kontekst. Kurs „</w:t>
      </w:r>
      <w:proofErr w:type="spellStart"/>
      <w:r w:rsidRPr="00FE6FFC">
        <w:t>Facing</w:t>
      </w:r>
      <w:proofErr w:type="spellEnd"/>
      <w:r w:rsidRPr="00FE6FFC">
        <w:t xml:space="preserve"> </w:t>
      </w:r>
      <w:proofErr w:type="spellStart"/>
      <w:r w:rsidRPr="00FE6FFC">
        <w:t>Diversity</w:t>
      </w:r>
      <w:proofErr w:type="spellEnd"/>
      <w:r w:rsidRPr="00FE6FFC">
        <w:t xml:space="preserve">: </w:t>
      </w:r>
      <w:proofErr w:type="spellStart"/>
      <w:r w:rsidRPr="00FE6FFC">
        <w:t>Intercultural</w:t>
      </w:r>
      <w:proofErr w:type="spellEnd"/>
      <w:r w:rsidRPr="00FE6FFC">
        <w:t xml:space="preserve"> </w:t>
      </w:r>
      <w:proofErr w:type="spellStart"/>
      <w:r w:rsidRPr="00FE6FFC">
        <w:t>Classroom</w:t>
      </w:r>
      <w:proofErr w:type="spellEnd"/>
      <w:r w:rsidRPr="00FE6FFC">
        <w:t xml:space="preserve"> Management” przypomniał mi, że nawet najbardziej zaawansowane technologie nie zastąpią </w:t>
      </w:r>
      <w:r w:rsidRPr="00FE6FFC">
        <w:lastRenderedPageBreak/>
        <w:t>podstawowej umiejętności</w:t>
      </w:r>
      <w:r>
        <w:t xml:space="preserve"> -</w:t>
      </w:r>
      <w:r w:rsidRPr="00FE6FFC">
        <w:t xml:space="preserve"> uważnego słuchania drugiego człowieka i gotowości do szukania wspólnego języka mimo różnic.</w:t>
      </w:r>
    </w:p>
    <w:p w14:paraId="4C313A7D" w14:textId="77777777" w:rsidR="00DA7472" w:rsidRDefault="00DA7472"/>
    <w:sectPr w:rsidR="00DA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6B"/>
    <w:rsid w:val="000A2ED8"/>
    <w:rsid w:val="003F6130"/>
    <w:rsid w:val="00456715"/>
    <w:rsid w:val="00535D80"/>
    <w:rsid w:val="0076726B"/>
    <w:rsid w:val="00DA7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EE02"/>
  <w15:chartTrackingRefBased/>
  <w15:docId w15:val="{42138520-05CB-4411-AA48-A3ECF3E1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726B"/>
  </w:style>
  <w:style w:type="paragraph" w:styleId="Nagwek1">
    <w:name w:val="heading 1"/>
    <w:basedOn w:val="Normalny"/>
    <w:next w:val="Normalny"/>
    <w:link w:val="Nagwek1Znak"/>
    <w:uiPriority w:val="9"/>
    <w:qFormat/>
    <w:rsid w:val="00767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67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6726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6726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6726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6726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726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726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726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726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6726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6726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6726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6726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672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72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72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726B"/>
    <w:rPr>
      <w:rFonts w:eastAsiaTheme="majorEastAsia" w:cstheme="majorBidi"/>
      <w:color w:val="272727" w:themeColor="text1" w:themeTint="D8"/>
    </w:rPr>
  </w:style>
  <w:style w:type="paragraph" w:styleId="Tytu">
    <w:name w:val="Title"/>
    <w:basedOn w:val="Normalny"/>
    <w:next w:val="Normalny"/>
    <w:link w:val="TytuZnak"/>
    <w:uiPriority w:val="10"/>
    <w:qFormat/>
    <w:rsid w:val="00767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72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72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72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726B"/>
    <w:pPr>
      <w:spacing w:before="160"/>
      <w:jc w:val="center"/>
    </w:pPr>
    <w:rPr>
      <w:i/>
      <w:iCs/>
      <w:color w:val="404040" w:themeColor="text1" w:themeTint="BF"/>
    </w:rPr>
  </w:style>
  <w:style w:type="character" w:customStyle="1" w:styleId="CytatZnak">
    <w:name w:val="Cytat Znak"/>
    <w:basedOn w:val="Domylnaczcionkaakapitu"/>
    <w:link w:val="Cytat"/>
    <w:uiPriority w:val="29"/>
    <w:rsid w:val="0076726B"/>
    <w:rPr>
      <w:i/>
      <w:iCs/>
      <w:color w:val="404040" w:themeColor="text1" w:themeTint="BF"/>
    </w:rPr>
  </w:style>
  <w:style w:type="paragraph" w:styleId="Akapitzlist">
    <w:name w:val="List Paragraph"/>
    <w:basedOn w:val="Normalny"/>
    <w:uiPriority w:val="34"/>
    <w:qFormat/>
    <w:rsid w:val="0076726B"/>
    <w:pPr>
      <w:ind w:left="720"/>
      <w:contextualSpacing/>
    </w:pPr>
  </w:style>
  <w:style w:type="character" w:styleId="Wyrnienieintensywne">
    <w:name w:val="Intense Emphasis"/>
    <w:basedOn w:val="Domylnaczcionkaakapitu"/>
    <w:uiPriority w:val="21"/>
    <w:qFormat/>
    <w:rsid w:val="0076726B"/>
    <w:rPr>
      <w:i/>
      <w:iCs/>
      <w:color w:val="2F5496" w:themeColor="accent1" w:themeShade="BF"/>
    </w:rPr>
  </w:style>
  <w:style w:type="paragraph" w:styleId="Cytatintensywny">
    <w:name w:val="Intense Quote"/>
    <w:basedOn w:val="Normalny"/>
    <w:next w:val="Normalny"/>
    <w:link w:val="CytatintensywnyZnak"/>
    <w:uiPriority w:val="30"/>
    <w:qFormat/>
    <w:rsid w:val="00767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6726B"/>
    <w:rPr>
      <w:i/>
      <w:iCs/>
      <w:color w:val="2F5496" w:themeColor="accent1" w:themeShade="BF"/>
    </w:rPr>
  </w:style>
  <w:style w:type="character" w:styleId="Odwoanieintensywne">
    <w:name w:val="Intense Reference"/>
    <w:basedOn w:val="Domylnaczcionkaakapitu"/>
    <w:uiPriority w:val="32"/>
    <w:qFormat/>
    <w:rsid w:val="00767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7077</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alysko</dc:creator>
  <cp:keywords/>
  <dc:description/>
  <cp:lastModifiedBy>alysko</cp:lastModifiedBy>
  <cp:revision>1</cp:revision>
  <dcterms:created xsi:type="dcterms:W3CDTF">2026-07-08T12:48:00Z</dcterms:created>
  <dcterms:modified xsi:type="dcterms:W3CDTF">2026-07-08T12:49:00Z</dcterms:modified>
</cp:coreProperties>
</file>